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39ECF" w14:textId="558C0CE1" w:rsidR="004B4A01" w:rsidRPr="00BF606B" w:rsidRDefault="00BF606B">
      <w:pPr>
        <w:pStyle w:val="berschrift1"/>
        <w:numPr>
          <w:ilvl w:val="0"/>
          <w:numId w:val="1"/>
        </w:numPr>
        <w:rPr>
          <w:szCs w:val="22"/>
          <w:lang w:val="en-GB"/>
        </w:rPr>
      </w:pPr>
      <w:r w:rsidRPr="00BF606B">
        <w:rPr>
          <w:szCs w:val="22"/>
          <w:lang w:val="en-GB"/>
        </w:rPr>
        <w:t>32. In Festo Corporis Christi (SC P 99)</w:t>
      </w:r>
    </w:p>
    <w:p w14:paraId="4684AF10" w14:textId="77777777" w:rsidR="00D70131" w:rsidRPr="00D70131" w:rsidRDefault="00BF606B" w:rsidP="00BF606B">
      <w:pPr>
        <w:pStyle w:val="berschrift2"/>
        <w:rPr>
          <w:b w:val="0"/>
          <w:bCs w:val="0"/>
          <w:szCs w:val="22"/>
          <w:lang w:val="en-GB"/>
        </w:rPr>
      </w:pPr>
      <w:r w:rsidRPr="00BF606B">
        <w:rPr>
          <w:szCs w:val="22"/>
          <w:lang w:val="en-GB"/>
        </w:rPr>
        <w:t>Text</w:t>
      </w:r>
      <w:r w:rsidR="004E52C2">
        <w:rPr>
          <w:szCs w:val="22"/>
          <w:lang w:val="en-GB"/>
        </w:rPr>
        <w:t xml:space="preserve"> </w:t>
      </w:r>
    </w:p>
    <w:p w14:paraId="7ADD3FDA" w14:textId="11AFCBF0" w:rsidR="00BF606B" w:rsidRPr="00BF606B" w:rsidRDefault="00D70131" w:rsidP="00D70131">
      <w:pPr>
        <w:pStyle w:val="berschrift2"/>
        <w:spacing w:before="0"/>
        <w:rPr>
          <w:szCs w:val="22"/>
          <w:lang w:val="en-GB"/>
        </w:rPr>
      </w:pPr>
      <w:r w:rsidRPr="00D70131">
        <w:rPr>
          <w:b w:val="0"/>
          <w:bCs w:val="0"/>
          <w:szCs w:val="22"/>
          <w:lang w:val="en-GB"/>
        </w:rPr>
        <w:t xml:space="preserve">For the text and its translation </w:t>
      </w:r>
      <w:r w:rsidR="004E52C2" w:rsidRPr="0032609C">
        <w:rPr>
          <w:b w:val="0"/>
          <w:bCs w:val="0"/>
          <w:szCs w:val="22"/>
          <w:lang w:val="en-GB"/>
        </w:rPr>
        <w:t xml:space="preserve">see this volume, no. </w:t>
      </w:r>
      <w:r w:rsidR="00F05954">
        <w:rPr>
          <w:b w:val="0"/>
          <w:bCs w:val="0"/>
          <w:szCs w:val="22"/>
          <w:lang w:val="en-GB"/>
        </w:rPr>
        <w:t>30</w:t>
      </w:r>
      <w:r w:rsidR="004E52C2" w:rsidRPr="0032609C">
        <w:rPr>
          <w:b w:val="0"/>
          <w:bCs w:val="0"/>
          <w:szCs w:val="22"/>
          <w:lang w:val="en-GB"/>
        </w:rPr>
        <w:t>.</w:t>
      </w:r>
    </w:p>
    <w:p w14:paraId="14E79AB0" w14:textId="77777777" w:rsidR="00BF606B" w:rsidRDefault="00BF606B" w:rsidP="00BF606B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BF606B">
        <w:rPr>
          <w:szCs w:val="22"/>
          <w:lang w:val="en-GB"/>
        </w:rPr>
        <w:t>Cantus firmus</w:t>
      </w:r>
    </w:p>
    <w:p w14:paraId="4F0FA0AE" w14:textId="215F4D22" w:rsidR="00D70131" w:rsidRPr="00C95677" w:rsidRDefault="00D70131" w:rsidP="00202ABB">
      <w:pPr>
        <w:pStyle w:val="Textkrper"/>
        <w:rPr>
          <w:lang w:val="en-US"/>
        </w:rPr>
      </w:pPr>
      <w:r w:rsidRPr="00D70131">
        <w:rPr>
          <w:lang w:val="en-GB"/>
        </w:rPr>
        <w:t>Just as in Senfl</w:t>
      </w:r>
      <w:r>
        <w:rPr>
          <w:lang w:val="en-GB"/>
        </w:rPr>
        <w:t>’</w:t>
      </w:r>
      <w:r w:rsidRPr="00D70131">
        <w:rPr>
          <w:lang w:val="en-GB"/>
        </w:rPr>
        <w:t xml:space="preserve">s </w:t>
      </w:r>
      <w:r w:rsidR="00F30B6D">
        <w:rPr>
          <w:lang w:val="en-GB"/>
        </w:rPr>
        <w:t>four-voice</w:t>
      </w:r>
      <w:r w:rsidRPr="00D70131">
        <w:rPr>
          <w:lang w:val="en-GB"/>
        </w:rPr>
        <w:t xml:space="preserve"> </w:t>
      </w:r>
      <w:r w:rsidR="00F30B6D">
        <w:rPr>
          <w:lang w:val="en-GB"/>
        </w:rPr>
        <w:t>setting of this text (</w:t>
      </w:r>
      <w:r w:rsidR="00F30B6D" w:rsidRPr="00D70131">
        <w:rPr>
          <w:lang w:val="en-GB"/>
        </w:rPr>
        <w:t>SC P 97</w:t>
      </w:r>
      <w:r w:rsidR="00F30B6D">
        <w:rPr>
          <w:lang w:val="en-GB"/>
        </w:rPr>
        <w:t>; see this volume, no. 30)</w:t>
      </w:r>
      <w:r w:rsidRPr="00D70131">
        <w:rPr>
          <w:lang w:val="en-GB"/>
        </w:rPr>
        <w:t>, the chant that forms the basis of th</w:t>
      </w:r>
      <w:r w:rsidR="00F30B6D">
        <w:rPr>
          <w:lang w:val="en-GB"/>
        </w:rPr>
        <w:t>e current five-voice</w:t>
      </w:r>
      <w:r w:rsidRPr="00D70131">
        <w:rPr>
          <w:lang w:val="en-GB"/>
        </w:rPr>
        <w:t xml:space="preserve"> setting largely matches the one found in </w:t>
      </w:r>
      <w:proofErr w:type="spellStart"/>
      <w:r w:rsidR="00F30B6D">
        <w:rPr>
          <w:lang w:val="en-GB"/>
        </w:rPr>
        <w:t>Stuchs</w:t>
      </w:r>
      <w:proofErr w:type="spellEnd"/>
      <w:r w:rsidR="00F30B6D">
        <w:rPr>
          <w:lang w:val="en-GB"/>
        </w:rPr>
        <w:t xml:space="preserve">’ </w:t>
      </w:r>
      <w:proofErr w:type="spellStart"/>
      <w:r w:rsidR="00F30B6D">
        <w:rPr>
          <w:i/>
          <w:iCs/>
          <w:lang w:val="en-GB"/>
        </w:rPr>
        <w:t>Responsoria</w:t>
      </w:r>
      <w:proofErr w:type="spellEnd"/>
      <w:r w:rsidR="00F30B6D">
        <w:rPr>
          <w:lang w:val="en-GB"/>
        </w:rPr>
        <w:t xml:space="preserve"> </w:t>
      </w:r>
      <w:r w:rsidR="00F30B6D" w:rsidRPr="00D70131">
        <w:rPr>
          <w:lang w:val="en-GB"/>
        </w:rPr>
        <w:t>(1509), fols. 4</w:t>
      </w:r>
      <w:r w:rsidR="00F30B6D">
        <w:rPr>
          <w:lang w:val="en-GB"/>
        </w:rPr>
        <w:t>7</w:t>
      </w:r>
      <w:r w:rsidR="00F30B6D" w:rsidRPr="00D70131">
        <w:rPr>
          <w:vertAlign w:val="superscript"/>
          <w:lang w:val="en-GB"/>
        </w:rPr>
        <w:t>v</w:t>
      </w:r>
      <w:r w:rsidR="00F30B6D" w:rsidRPr="00D70131">
        <w:rPr>
          <w:lang w:val="en-GB"/>
        </w:rPr>
        <w:t>–49</w:t>
      </w:r>
      <w:r w:rsidR="00F30B6D" w:rsidRPr="00D70131">
        <w:rPr>
          <w:vertAlign w:val="superscript"/>
          <w:lang w:val="en-GB"/>
        </w:rPr>
        <w:t>r</w:t>
      </w:r>
      <w:r>
        <w:rPr>
          <w:lang w:val="en-GB"/>
        </w:rPr>
        <w:t xml:space="preserve"> </w:t>
      </w:r>
      <w:r w:rsidR="00F30B6D">
        <w:rPr>
          <w:lang w:val="en-GB"/>
        </w:rPr>
        <w:t xml:space="preserve">(including the trope). </w:t>
      </w:r>
      <w:r w:rsidRPr="00D70131">
        <w:rPr>
          <w:lang w:val="en-GB"/>
        </w:rPr>
        <w:t xml:space="preserve">Sections of the chant melody are quoted in all five voice parts, </w:t>
      </w:r>
      <w:r>
        <w:rPr>
          <w:lang w:val="en-GB"/>
        </w:rPr>
        <w:t>but it is particularly treated</w:t>
      </w:r>
      <w:r w:rsidRPr="00D70131">
        <w:rPr>
          <w:lang w:val="en-GB"/>
        </w:rPr>
        <w:t xml:space="preserve"> in the</w:t>
      </w:r>
      <w:r>
        <w:rPr>
          <w:lang w:val="en-GB"/>
        </w:rPr>
        <w:t xml:space="preserve"> </w:t>
      </w:r>
      <w:r w:rsidRPr="00D70131">
        <w:rPr>
          <w:lang w:val="en-GB"/>
        </w:rPr>
        <w:t>tenor,</w:t>
      </w:r>
      <w:r>
        <w:rPr>
          <w:lang w:val="en-GB"/>
        </w:rPr>
        <w:t xml:space="preserve"> </w:t>
      </w:r>
      <w:proofErr w:type="spellStart"/>
      <w:r w:rsidRPr="00D70131">
        <w:rPr>
          <w:lang w:val="en-GB"/>
        </w:rPr>
        <w:t>vagans</w:t>
      </w:r>
      <w:proofErr w:type="spellEnd"/>
      <w:r w:rsidRPr="00D70131">
        <w:rPr>
          <w:lang w:val="en-GB"/>
        </w:rPr>
        <w:t>, and</w:t>
      </w:r>
      <w:r>
        <w:rPr>
          <w:lang w:val="en-GB"/>
        </w:rPr>
        <w:t xml:space="preserve"> </w:t>
      </w:r>
      <w:r w:rsidRPr="00D70131">
        <w:rPr>
          <w:lang w:val="en-GB"/>
        </w:rPr>
        <w:t xml:space="preserve">bassus. In the </w:t>
      </w:r>
      <w:r w:rsidR="00F30B6D">
        <w:rPr>
          <w:lang w:val="en-GB"/>
        </w:rPr>
        <w:t xml:space="preserve">response </w:t>
      </w:r>
      <w:r w:rsidR="006859D4">
        <w:rPr>
          <w:lang w:val="en-GB"/>
        </w:rPr>
        <w:t>(</w:t>
      </w:r>
      <w:r w:rsidRPr="00D70131">
        <w:rPr>
          <w:lang w:val="en-GB"/>
        </w:rPr>
        <w:t>mm. 1–76</w:t>
      </w:r>
      <w:r w:rsidR="006859D4">
        <w:rPr>
          <w:lang w:val="en-GB"/>
        </w:rPr>
        <w:t>) and the</w:t>
      </w:r>
      <w:r w:rsidRPr="00D70131">
        <w:rPr>
          <w:lang w:val="en-GB"/>
        </w:rPr>
        <w:t xml:space="preserve"> repetenda</w:t>
      </w:r>
      <w:r w:rsidR="006859D4">
        <w:rPr>
          <w:lang w:val="en-GB"/>
        </w:rPr>
        <w:t xml:space="preserve"> (</w:t>
      </w:r>
      <w:r w:rsidRPr="00D70131">
        <w:rPr>
          <w:lang w:val="en-GB"/>
        </w:rPr>
        <w:t xml:space="preserve">mm. 77–165) the plainchant is set </w:t>
      </w:r>
      <w:r w:rsidR="006859D4">
        <w:rPr>
          <w:lang w:val="en-GB"/>
        </w:rPr>
        <w:t>as a quasi-canon</w:t>
      </w:r>
      <w:r>
        <w:rPr>
          <w:lang w:val="en-GB"/>
        </w:rPr>
        <w:t xml:space="preserve"> </w:t>
      </w:r>
      <w:r w:rsidRPr="00D70131">
        <w:rPr>
          <w:lang w:val="en-GB"/>
        </w:rPr>
        <w:t xml:space="preserve">among these three parts. The tenor presents the chant melody a fifth higher than the monophonic version; the bassus sings it an octave (a fifth in mm. 45–47) lower than the tenor; and the </w:t>
      </w:r>
      <w:proofErr w:type="spellStart"/>
      <w:r w:rsidRPr="00D70131">
        <w:rPr>
          <w:lang w:val="en-GB"/>
        </w:rPr>
        <w:t>vagans</w:t>
      </w:r>
      <w:proofErr w:type="spellEnd"/>
      <w:r w:rsidRPr="00D70131">
        <w:rPr>
          <w:lang w:val="en-GB"/>
        </w:rPr>
        <w:t xml:space="preserve"> a fourth lower. In the verse, the bassus </w:t>
      </w:r>
      <w:r w:rsidR="006859D4">
        <w:rPr>
          <w:lang w:val="en-GB"/>
        </w:rPr>
        <w:t>moves more freely and is not any longer part of this canonic structure</w:t>
      </w:r>
      <w:r w:rsidRPr="00D70131">
        <w:rPr>
          <w:lang w:val="en-GB"/>
        </w:rPr>
        <w:t>.</w:t>
      </w:r>
    </w:p>
    <w:p w14:paraId="14FD5EE7" w14:textId="1C1D16C5" w:rsidR="00BF606B" w:rsidRPr="00C95677" w:rsidRDefault="00BF606B" w:rsidP="00BF606B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C95677">
        <w:rPr>
          <w:szCs w:val="22"/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BF606B" w:rsidRPr="00E3777D" w14:paraId="5BC56575" w14:textId="77777777" w:rsidTr="00FB3501">
        <w:tc>
          <w:tcPr>
            <w:tcW w:w="809" w:type="dxa"/>
          </w:tcPr>
          <w:p w14:paraId="572E7EBC" w14:textId="42915795" w:rsidR="00BF606B" w:rsidRPr="00BF606B" w:rsidRDefault="00C95677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C95677">
              <w:rPr>
                <w:b/>
                <w:szCs w:val="22"/>
                <w:lang w:val="en-GB"/>
              </w:rPr>
              <w:t>Zwi</w:t>
            </w:r>
            <w:r w:rsidRPr="00C95677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1" w:type="dxa"/>
          </w:tcPr>
          <w:p w14:paraId="2DC0E2B1" w14:textId="5B6BF420" w:rsidR="00BF606B" w:rsidRPr="00764CA0" w:rsidRDefault="00C95677" w:rsidP="00FB350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C95677">
              <w:rPr>
                <w:szCs w:val="22"/>
                <w:lang w:val="en-US"/>
              </w:rPr>
              <w:t xml:space="preserve">D-Z </w:t>
            </w:r>
            <w:r w:rsidR="00523801">
              <w:rPr>
                <w:szCs w:val="22"/>
                <w:lang w:val="en-US"/>
              </w:rPr>
              <w:t>Mus.</w:t>
            </w:r>
            <w:r w:rsidRPr="00C95677">
              <w:rPr>
                <w:szCs w:val="22"/>
                <w:lang w:val="en-US"/>
              </w:rPr>
              <w:t>73, [no. V.14] = [no. 125], fols. 152</w:t>
            </w:r>
            <w:r w:rsidRPr="00C95677">
              <w:rPr>
                <w:szCs w:val="22"/>
                <w:vertAlign w:val="superscript"/>
                <w:lang w:val="en-US"/>
              </w:rPr>
              <w:t>r</w:t>
            </w:r>
            <w:r w:rsidRPr="00C95677">
              <w:rPr>
                <w:szCs w:val="22"/>
                <w:lang w:val="en-US"/>
              </w:rPr>
              <w:t>–153</w:t>
            </w:r>
            <w:r w:rsidRPr="00C95677">
              <w:rPr>
                <w:szCs w:val="22"/>
                <w:vertAlign w:val="superscript"/>
                <w:lang w:val="en-US"/>
              </w:rPr>
              <w:t>r</w:t>
            </w:r>
            <w:r w:rsidRPr="00C95677">
              <w:rPr>
                <w:szCs w:val="22"/>
                <w:lang w:val="en-US"/>
              </w:rPr>
              <w:t xml:space="preserve"> (D), fols. 157</w:t>
            </w:r>
            <w:r w:rsidRPr="00C95677">
              <w:rPr>
                <w:szCs w:val="22"/>
                <w:vertAlign w:val="superscript"/>
                <w:lang w:val="en-US"/>
              </w:rPr>
              <w:t>v</w:t>
            </w:r>
            <w:r w:rsidRPr="00C95677">
              <w:rPr>
                <w:szCs w:val="22"/>
                <w:lang w:val="en-US"/>
              </w:rPr>
              <w:t>–158</w:t>
            </w:r>
            <w:r w:rsidRPr="00C95677">
              <w:rPr>
                <w:szCs w:val="22"/>
                <w:vertAlign w:val="superscript"/>
                <w:lang w:val="en-US"/>
              </w:rPr>
              <w:t>v</w:t>
            </w:r>
            <w:r w:rsidRPr="00C95677">
              <w:rPr>
                <w:szCs w:val="22"/>
                <w:lang w:val="en-US"/>
              </w:rPr>
              <w:t xml:space="preserve"> (A), fol. 153</w:t>
            </w:r>
            <w:r w:rsidRPr="00C95677">
              <w:rPr>
                <w:szCs w:val="22"/>
                <w:vertAlign w:val="superscript"/>
                <w:lang w:val="en-US"/>
              </w:rPr>
              <w:t xml:space="preserve">r–v </w:t>
            </w:r>
            <w:r w:rsidRPr="00C95677">
              <w:rPr>
                <w:szCs w:val="22"/>
                <w:lang w:val="en-US"/>
              </w:rPr>
              <w:t xml:space="preserve">(T), </w:t>
            </w:r>
            <w:r w:rsidR="00803ED1" w:rsidRPr="00803ED1">
              <w:rPr>
                <w:szCs w:val="22"/>
                <w:lang w:val="en-US"/>
              </w:rPr>
              <w:t>fol. 84</w:t>
            </w:r>
            <w:r w:rsidR="00803ED1" w:rsidRPr="00803ED1">
              <w:rPr>
                <w:szCs w:val="22"/>
                <w:vertAlign w:val="superscript"/>
                <w:lang w:val="en-US"/>
              </w:rPr>
              <w:t xml:space="preserve">r–v </w:t>
            </w:r>
            <w:r w:rsidR="00803ED1" w:rsidRPr="00803ED1">
              <w:rPr>
                <w:szCs w:val="22"/>
                <w:lang w:val="en-US"/>
              </w:rPr>
              <w:t xml:space="preserve">(V), </w:t>
            </w:r>
            <w:r w:rsidRPr="00C95677">
              <w:rPr>
                <w:szCs w:val="22"/>
                <w:lang w:val="en-US"/>
              </w:rPr>
              <w:t xml:space="preserve">fols. </w:t>
            </w:r>
            <w:r w:rsidRPr="00764CA0">
              <w:rPr>
                <w:szCs w:val="22"/>
                <w:lang w:val="en-GB"/>
              </w:rPr>
              <w:t>155</w:t>
            </w:r>
            <w:r w:rsidRPr="00764CA0">
              <w:rPr>
                <w:szCs w:val="22"/>
                <w:vertAlign w:val="superscript"/>
                <w:lang w:val="en-GB"/>
              </w:rPr>
              <w:t>v</w:t>
            </w:r>
            <w:r w:rsidRPr="00764CA0">
              <w:rPr>
                <w:szCs w:val="22"/>
                <w:lang w:val="en-GB"/>
              </w:rPr>
              <w:t>–156</w:t>
            </w:r>
            <w:r w:rsidRPr="00764CA0">
              <w:rPr>
                <w:szCs w:val="22"/>
                <w:vertAlign w:val="superscript"/>
                <w:lang w:val="en-GB"/>
              </w:rPr>
              <w:t>r</w:t>
            </w:r>
            <w:r w:rsidRPr="00764CA0">
              <w:rPr>
                <w:szCs w:val="22"/>
                <w:lang w:val="en-GB"/>
              </w:rPr>
              <w:t xml:space="preserve"> (B), </w:t>
            </w:r>
            <w:proofErr w:type="spellStart"/>
            <w:r w:rsidRPr="00764CA0">
              <w:rPr>
                <w:i/>
                <w:iCs/>
                <w:szCs w:val="22"/>
                <w:lang w:val="en-GB"/>
              </w:rPr>
              <w:t>Ludouicus</w:t>
            </w:r>
            <w:proofErr w:type="spellEnd"/>
            <w:r w:rsidRPr="00764CA0">
              <w:rPr>
                <w:i/>
                <w:iCs/>
                <w:szCs w:val="22"/>
                <w:lang w:val="en-GB"/>
              </w:rPr>
              <w:t xml:space="preserve"> Senffel</w:t>
            </w:r>
            <w:r w:rsidRPr="00764CA0">
              <w:rPr>
                <w:szCs w:val="22"/>
                <w:lang w:val="en-GB"/>
              </w:rPr>
              <w:t xml:space="preserve"> (B)</w:t>
            </w:r>
            <w:r w:rsidR="00764CA0" w:rsidRPr="00764CA0">
              <w:rPr>
                <w:szCs w:val="22"/>
                <w:lang w:val="en-GB"/>
              </w:rPr>
              <w:t>, text in all voices</w:t>
            </w:r>
          </w:p>
        </w:tc>
      </w:tr>
    </w:tbl>
    <w:p w14:paraId="73185627" w14:textId="33A4B608" w:rsidR="00BF606B" w:rsidRPr="00C95677" w:rsidRDefault="00BF606B" w:rsidP="00BF606B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C95677">
        <w:rPr>
          <w:szCs w:val="22"/>
          <w:lang w:val="en-GB"/>
        </w:rPr>
        <w:t>Critical Notes</w:t>
      </w:r>
    </w:p>
    <w:p w14:paraId="21C7308D" w14:textId="77777777" w:rsidR="00BF606B" w:rsidRPr="00BF606B" w:rsidRDefault="00BF606B" w:rsidP="00BF606B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BF606B">
        <w:rPr>
          <w:szCs w:val="22"/>
          <w:lang w:val="en-GB"/>
        </w:rPr>
        <w:t>Mensuration and proportion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764CA0" w:rsidRPr="00BF606B" w14:paraId="10061EBD" w14:textId="77777777" w:rsidTr="00764CA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9E6870" w14:textId="6DB896F1" w:rsidR="00764CA0" w:rsidRPr="00BF606B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77–217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197B02" w14:textId="23C0A296" w:rsidR="00764CA0" w:rsidRPr="00BF606B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T, B, 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ADBBAF" w14:textId="66360CBD" w:rsidR="00764CA0" w:rsidRPr="00BF606B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764CA0">
              <w:rPr>
                <w:szCs w:val="22"/>
                <w:highlight w:val="cyan"/>
                <w:lang w:val="en-GB"/>
              </w:rPr>
              <w:t>cut C</w:t>
            </w:r>
            <w:r>
              <w:rPr>
                <w:szCs w:val="22"/>
                <w:lang w:val="en-GB"/>
              </w:rPr>
              <w:t>} missing</w:t>
            </w:r>
          </w:p>
        </w:tc>
      </w:tr>
    </w:tbl>
    <w:p w14:paraId="55D5FD4B" w14:textId="7199C96F" w:rsidR="00BF606B" w:rsidRPr="00E35237" w:rsidRDefault="00E61AD7" w:rsidP="00BF606B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E35237">
        <w:rPr>
          <w:szCs w:val="22"/>
          <w:lang w:val="en-GB"/>
        </w:rPr>
        <w:t>D</w:t>
      </w:r>
      <w:r w:rsidR="00BF606B" w:rsidRPr="00E35237">
        <w:rPr>
          <w:szCs w:val="22"/>
          <w:lang w:val="en-GB"/>
        </w:rPr>
        <w:t>irections and/or non-verbal signs</w:t>
      </w:r>
    </w:p>
    <w:tbl>
      <w:tblPr>
        <w:tblStyle w:val="Tabellenraster"/>
        <w:tblW w:w="6888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</w:tblGrid>
      <w:tr w:rsidR="00764CA0" w:rsidRPr="00202ABB" w14:paraId="14151EFC" w14:textId="77777777" w:rsidTr="00764CA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630EC6" w14:textId="58D9773F" w:rsidR="00764CA0" w:rsidRPr="00BF606B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3A8451" w14:textId="323E8C72" w:rsidR="00764CA0" w:rsidRPr="00BF606B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BCD3C6" w14:textId="61185937" w:rsidR="00764CA0" w:rsidRPr="00BF606B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764CA0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64CA0" w:rsidRPr="00202ABB" w14:paraId="0684DF90" w14:textId="77777777" w:rsidTr="00764CA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0F51D3" w14:textId="060109AB" w:rsidR="00764CA0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C2B04A" w14:textId="51FFD22B" w:rsidR="00764CA0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012212" w14:textId="146540D3" w:rsidR="00764CA0" w:rsidRPr="00BF606B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764CA0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64CA0" w:rsidRPr="00202ABB" w14:paraId="2FA992F7" w14:textId="77777777" w:rsidTr="00764CA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E11D05" w14:textId="6CD66AE6" w:rsidR="00764CA0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2314A5" w14:textId="78CFF7A8" w:rsidR="00764CA0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E97139" w14:textId="0B7493B5" w:rsidR="00764CA0" w:rsidRPr="00BF606B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764CA0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64CA0" w:rsidRPr="00202ABB" w14:paraId="4E530BAC" w14:textId="77777777" w:rsidTr="00764CA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11107A" w14:textId="5FE22515" w:rsidR="00764CA0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B1EE91" w14:textId="01B58BBF" w:rsidR="00764CA0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B71951" w14:textId="12532AF3" w:rsidR="00764CA0" w:rsidRPr="00BF606B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764CA0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64CA0" w:rsidRPr="00202ABB" w14:paraId="2423F503" w14:textId="77777777" w:rsidTr="00764CA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55527A" w14:textId="2C7A2162" w:rsidR="00764CA0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49EA70" w14:textId="638F81F3" w:rsidR="00764CA0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3486CB" w14:textId="1BA3557E" w:rsidR="00764CA0" w:rsidRPr="00BF606B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764CA0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64CA0" w:rsidRPr="00202ABB" w14:paraId="0901AC97" w14:textId="77777777" w:rsidTr="00764CA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17E0D6" w14:textId="14D7E20C" w:rsidR="00764CA0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193998" w14:textId="3907B183" w:rsidR="00764CA0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A5A041" w14:textId="50C8E0B6" w:rsidR="00764CA0" w:rsidRPr="00BF606B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764CA0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64CA0" w:rsidRPr="00202ABB" w14:paraId="47CF7C55" w14:textId="77777777" w:rsidTr="00764CA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538872" w14:textId="18A9BE92" w:rsidR="00764CA0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A66F28" w14:textId="27B46193" w:rsidR="00764CA0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1CBEC5" w14:textId="4561887F" w:rsidR="00764CA0" w:rsidRPr="00BF606B" w:rsidRDefault="00764CA0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764CA0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1407C8A3" w14:textId="0FC104AE" w:rsidR="004B4A01" w:rsidRPr="00BF606B" w:rsidRDefault="004B4A01" w:rsidP="00BF606B">
      <w:pPr>
        <w:pStyle w:val="berschrift2"/>
        <w:numPr>
          <w:ilvl w:val="1"/>
          <w:numId w:val="1"/>
        </w:numPr>
        <w:rPr>
          <w:szCs w:val="22"/>
          <w:lang w:val="en-GB"/>
        </w:rPr>
      </w:pPr>
    </w:p>
    <w:sectPr w:rsidR="004B4A01" w:rsidRPr="00BF606B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3707A5"/>
    <w:multiLevelType w:val="multilevel"/>
    <w:tmpl w:val="C6A67C5A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480B4F"/>
    <w:multiLevelType w:val="multilevel"/>
    <w:tmpl w:val="1A849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F472B4D"/>
    <w:multiLevelType w:val="multilevel"/>
    <w:tmpl w:val="B6206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95675F8"/>
    <w:multiLevelType w:val="multilevel"/>
    <w:tmpl w:val="FEE8B7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A124D52"/>
    <w:multiLevelType w:val="multilevel"/>
    <w:tmpl w:val="1BF6ED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6424567"/>
    <w:multiLevelType w:val="multilevel"/>
    <w:tmpl w:val="62B06E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8B8223D"/>
    <w:multiLevelType w:val="multilevel"/>
    <w:tmpl w:val="7F8C7AA0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03478617">
    <w:abstractNumId w:val="7"/>
  </w:num>
  <w:num w:numId="2" w16cid:durableId="539317960">
    <w:abstractNumId w:val="1"/>
  </w:num>
  <w:num w:numId="3" w16cid:durableId="1388144411">
    <w:abstractNumId w:val="6"/>
  </w:num>
  <w:num w:numId="4" w16cid:durableId="241110047">
    <w:abstractNumId w:val="4"/>
  </w:num>
  <w:num w:numId="5" w16cid:durableId="178080184">
    <w:abstractNumId w:val="3"/>
  </w:num>
  <w:num w:numId="6" w16cid:durableId="1628465027">
    <w:abstractNumId w:val="0"/>
  </w:num>
  <w:num w:numId="7" w16cid:durableId="1915310311">
    <w:abstractNumId w:val="5"/>
  </w:num>
  <w:num w:numId="8" w16cid:durableId="699476027">
    <w:abstractNumId w:val="2"/>
  </w:num>
  <w:num w:numId="9" w16cid:durableId="7928629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proofState w:spelling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01"/>
    <w:rsid w:val="00202ABB"/>
    <w:rsid w:val="00323FD7"/>
    <w:rsid w:val="0034355A"/>
    <w:rsid w:val="0040198C"/>
    <w:rsid w:val="004B4A01"/>
    <w:rsid w:val="004E52C2"/>
    <w:rsid w:val="00523801"/>
    <w:rsid w:val="005C3E3C"/>
    <w:rsid w:val="006859D4"/>
    <w:rsid w:val="00764CA0"/>
    <w:rsid w:val="0076644D"/>
    <w:rsid w:val="00803ED1"/>
    <w:rsid w:val="008F1997"/>
    <w:rsid w:val="0096235D"/>
    <w:rsid w:val="009F1D13"/>
    <w:rsid w:val="00A66B8C"/>
    <w:rsid w:val="00A72C09"/>
    <w:rsid w:val="00B15816"/>
    <w:rsid w:val="00BF606B"/>
    <w:rsid w:val="00C27791"/>
    <w:rsid w:val="00C95677"/>
    <w:rsid w:val="00CF5A5C"/>
    <w:rsid w:val="00D70131"/>
    <w:rsid w:val="00E35237"/>
    <w:rsid w:val="00E3777D"/>
    <w:rsid w:val="00E61AD7"/>
    <w:rsid w:val="00F05954"/>
    <w:rsid w:val="00F3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7DF6AC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qFormat/>
    <w:rsid w:val="00BF606B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BF606B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F606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val="de-A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72C0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72C0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72C09"/>
    <w:rPr>
      <w:rFonts w:ascii="Cambria" w:eastAsia="font563" w:hAnsi="Cambria" w:cs="font563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72C0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72C09"/>
    <w:rPr>
      <w:rFonts w:ascii="Cambria" w:eastAsia="font563" w:hAnsi="Cambria" w:cs="font563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0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0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6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48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9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1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3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Stefan Gasch</cp:lastModifiedBy>
  <cp:revision>7</cp:revision>
  <cp:lastPrinted>2019-11-13T08:44:00Z</cp:lastPrinted>
  <dcterms:created xsi:type="dcterms:W3CDTF">2024-12-13T20:05:00Z</dcterms:created>
  <dcterms:modified xsi:type="dcterms:W3CDTF">2025-09-08T07:59:00Z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